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14A5C" w:rsidRPr="0044749B">
        <w:tc>
          <w:tcPr>
            <w:tcW w:w="5070" w:type="dxa"/>
          </w:tcPr>
          <w:p w:rsidR="00114A5C" w:rsidRPr="0044749B" w:rsidRDefault="00114A5C" w:rsidP="00785F29">
            <w:pPr>
              <w:spacing w:line="240" w:lineRule="atLeas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114A5C" w:rsidRPr="0044749B" w:rsidRDefault="00114A5C" w:rsidP="00E121E4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14.10.2014</w:t>
            </w:r>
          </w:p>
        </w:tc>
      </w:tr>
    </w:tbl>
    <w:p w:rsidR="00114A5C" w:rsidRPr="0044749B" w:rsidRDefault="00114A5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114A5C" w:rsidRPr="0044749B" w:rsidRDefault="00114A5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44749B">
        <w:rPr>
          <w:b/>
          <w:sz w:val="26"/>
          <w:szCs w:val="26"/>
        </w:rPr>
        <w:t>ЗАКЛЮЧЕНИЕ</w:t>
      </w:r>
    </w:p>
    <w:p w:rsidR="00114A5C" w:rsidRPr="0044749B" w:rsidRDefault="00114A5C" w:rsidP="000E7405">
      <w:pPr>
        <w:jc w:val="center"/>
        <w:outlineLvl w:val="0"/>
        <w:rPr>
          <w:b/>
          <w:spacing w:val="-3"/>
          <w:sz w:val="26"/>
          <w:szCs w:val="26"/>
        </w:rPr>
      </w:pPr>
      <w:r w:rsidRPr="0044749B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</w:t>
      </w:r>
    </w:p>
    <w:p w:rsidR="00114A5C" w:rsidRPr="0044749B" w:rsidRDefault="00114A5C" w:rsidP="00E16563">
      <w:pPr>
        <w:widowControl/>
        <w:spacing w:line="240" w:lineRule="atLeast"/>
        <w:ind w:firstLine="709"/>
        <w:jc w:val="center"/>
        <w:rPr>
          <w:b/>
          <w:spacing w:val="-4"/>
          <w:sz w:val="26"/>
          <w:szCs w:val="26"/>
        </w:rPr>
      </w:pP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Постановление мэрии города Новосибирска от 11.09.2014 № 8199 «О назначении публичных слушаний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было опубликовано в Бюллетене органов местного самоуправления города Новосибирска от 12.09.2014 № 69 и размещено на официальном сайте города Новосибирска.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Публичные слушания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проведены 14 октября 2014 года.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были заслушаны предложения приглашенных экспертов и иных участников публичных слушаний.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По результатам проведения публичных слушаний сделано следующее</w:t>
      </w:r>
    </w:p>
    <w:p w:rsidR="00114A5C" w:rsidRPr="0044749B" w:rsidRDefault="00114A5C" w:rsidP="00EA6665">
      <w:pPr>
        <w:pStyle w:val="Caption"/>
        <w:widowControl/>
        <w:spacing w:before="0"/>
        <w:jc w:val="center"/>
        <w:rPr>
          <w:b/>
          <w:sz w:val="26"/>
          <w:szCs w:val="26"/>
        </w:rPr>
      </w:pPr>
      <w:r w:rsidRPr="0044749B">
        <w:rPr>
          <w:b/>
          <w:sz w:val="26"/>
          <w:szCs w:val="26"/>
        </w:rPr>
        <w:t>заключение: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районе». 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14A5C" w:rsidRPr="0044749B" w:rsidRDefault="00114A5C" w:rsidP="00E16563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3. Проект постановления мэрии города Новосибирска «Об утверждении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получил положительную оценку и рекомендуется к утверждению с учетом предложений, одобренных экспертами:</w:t>
      </w:r>
    </w:p>
    <w:p w:rsidR="00114A5C" w:rsidRPr="0044749B" w:rsidRDefault="00114A5C" w:rsidP="00E135EE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3.1. </w:t>
      </w:r>
      <w:r>
        <w:rPr>
          <w:sz w:val="26"/>
          <w:szCs w:val="26"/>
        </w:rPr>
        <w:t>в</w:t>
      </w:r>
      <w:r w:rsidRPr="0044749B">
        <w:rPr>
          <w:sz w:val="26"/>
          <w:szCs w:val="26"/>
        </w:rPr>
        <w:t xml:space="preserve"> приложении 1 отобразить </w:t>
      </w:r>
      <w:r>
        <w:rPr>
          <w:sz w:val="26"/>
          <w:szCs w:val="26"/>
        </w:rPr>
        <w:t>границы территории объектов</w:t>
      </w:r>
      <w:r w:rsidRPr="0044749B">
        <w:rPr>
          <w:sz w:val="26"/>
          <w:szCs w:val="26"/>
        </w:rPr>
        <w:t xml:space="preserve"> культурного наследия и </w:t>
      </w:r>
      <w:r>
        <w:rPr>
          <w:sz w:val="26"/>
          <w:szCs w:val="26"/>
        </w:rPr>
        <w:t xml:space="preserve">их </w:t>
      </w:r>
      <w:r w:rsidRPr="0044749B">
        <w:rPr>
          <w:sz w:val="26"/>
          <w:szCs w:val="26"/>
        </w:rPr>
        <w:t>у</w:t>
      </w:r>
      <w:r>
        <w:rPr>
          <w:sz w:val="26"/>
          <w:szCs w:val="26"/>
        </w:rPr>
        <w:t>словные обозначения</w:t>
      </w:r>
      <w:r w:rsidRPr="0044749B">
        <w:rPr>
          <w:sz w:val="26"/>
          <w:szCs w:val="26"/>
        </w:rPr>
        <w:t>;</w:t>
      </w:r>
    </w:p>
    <w:p w:rsidR="00114A5C" w:rsidRPr="0044749B" w:rsidRDefault="00114A5C" w:rsidP="004469CE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3.2. </w:t>
      </w:r>
      <w:r>
        <w:rPr>
          <w:sz w:val="26"/>
          <w:szCs w:val="26"/>
        </w:rPr>
        <w:t>в</w:t>
      </w:r>
      <w:r w:rsidRPr="0044749B">
        <w:rPr>
          <w:sz w:val="26"/>
          <w:szCs w:val="26"/>
        </w:rPr>
        <w:t xml:space="preserve"> приложении 2 отобразить </w:t>
      </w:r>
      <w:r>
        <w:rPr>
          <w:sz w:val="26"/>
          <w:szCs w:val="26"/>
        </w:rPr>
        <w:t>мосты</w:t>
      </w:r>
      <w:r w:rsidRPr="0044749B">
        <w:rPr>
          <w:sz w:val="26"/>
          <w:szCs w:val="26"/>
        </w:rPr>
        <w:t xml:space="preserve"> и внеуличны</w:t>
      </w:r>
      <w:r>
        <w:rPr>
          <w:sz w:val="26"/>
          <w:szCs w:val="26"/>
        </w:rPr>
        <w:t>е</w:t>
      </w:r>
      <w:r w:rsidRPr="0044749B">
        <w:rPr>
          <w:sz w:val="26"/>
          <w:szCs w:val="26"/>
        </w:rPr>
        <w:t xml:space="preserve"> пешеходны</w:t>
      </w:r>
      <w:r>
        <w:rPr>
          <w:sz w:val="26"/>
          <w:szCs w:val="26"/>
        </w:rPr>
        <w:t>е</w:t>
      </w:r>
      <w:r w:rsidRPr="0044749B">
        <w:rPr>
          <w:sz w:val="26"/>
          <w:szCs w:val="26"/>
        </w:rPr>
        <w:t xml:space="preserve"> переход</w:t>
      </w:r>
      <w:r>
        <w:rPr>
          <w:sz w:val="26"/>
          <w:szCs w:val="26"/>
        </w:rPr>
        <w:t>ы и</w:t>
      </w:r>
      <w:r w:rsidRPr="007C51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</w:t>
      </w:r>
      <w:r w:rsidRPr="0044749B">
        <w:rPr>
          <w:sz w:val="26"/>
          <w:szCs w:val="26"/>
        </w:rPr>
        <w:t>у</w:t>
      </w:r>
      <w:r>
        <w:rPr>
          <w:sz w:val="26"/>
          <w:szCs w:val="26"/>
        </w:rPr>
        <w:t>словные обозначения</w:t>
      </w:r>
      <w:r w:rsidRPr="0044749B">
        <w:rPr>
          <w:sz w:val="26"/>
          <w:szCs w:val="26"/>
        </w:rPr>
        <w:t>;</w:t>
      </w:r>
    </w:p>
    <w:p w:rsidR="00114A5C" w:rsidRPr="0044749B" w:rsidRDefault="00114A5C" w:rsidP="004469CE">
      <w:pPr>
        <w:pStyle w:val="Caption"/>
        <w:widowControl/>
        <w:spacing w:before="0"/>
        <w:rPr>
          <w:sz w:val="26"/>
          <w:szCs w:val="26"/>
        </w:rPr>
      </w:pPr>
      <w:r w:rsidRPr="0044749B">
        <w:rPr>
          <w:sz w:val="26"/>
          <w:szCs w:val="26"/>
        </w:rPr>
        <w:t>3.3. </w:t>
      </w:r>
      <w:r>
        <w:rPr>
          <w:sz w:val="26"/>
          <w:szCs w:val="26"/>
        </w:rPr>
        <w:t>в приложении 3</w:t>
      </w:r>
      <w:r w:rsidRPr="0044749B">
        <w:rPr>
          <w:sz w:val="26"/>
          <w:szCs w:val="26"/>
        </w:rPr>
        <w:t xml:space="preserve"> в балансе проектируемого использования территории </w:t>
      </w:r>
      <w:r>
        <w:rPr>
          <w:sz w:val="26"/>
          <w:szCs w:val="26"/>
        </w:rPr>
        <w:t xml:space="preserve">заменить </w:t>
      </w:r>
      <w:r w:rsidRPr="0044749B">
        <w:rPr>
          <w:sz w:val="26"/>
          <w:szCs w:val="26"/>
        </w:rPr>
        <w:t>зону</w:t>
      </w:r>
      <w:r w:rsidRPr="0044749B">
        <w:rPr>
          <w:sz w:val="26"/>
          <w:szCs w:val="26"/>
          <w:lang w:eastAsia="en-US"/>
        </w:rPr>
        <w:t xml:space="preserve"> застройки сезонного проживания</w:t>
      </w:r>
      <w:r w:rsidRPr="0044749B">
        <w:rPr>
          <w:sz w:val="26"/>
          <w:szCs w:val="26"/>
        </w:rPr>
        <w:t xml:space="preserve"> (Ж-7) на зону застройки индивидуальными жилыми домами (Ж-6).</w:t>
      </w:r>
    </w:p>
    <w:tbl>
      <w:tblPr>
        <w:tblW w:w="0" w:type="auto"/>
        <w:tblLook w:val="00A0"/>
      </w:tblPr>
      <w:tblGrid>
        <w:gridCol w:w="6204"/>
        <w:gridCol w:w="3604"/>
      </w:tblGrid>
      <w:tr w:rsidR="00114A5C" w:rsidRPr="0044749B" w:rsidTr="00524544">
        <w:tc>
          <w:tcPr>
            <w:tcW w:w="6204" w:type="dxa"/>
          </w:tcPr>
          <w:p w:rsidR="00114A5C" w:rsidRPr="0044749B" w:rsidRDefault="00114A5C" w:rsidP="00F112CB">
            <w:pPr>
              <w:rPr>
                <w:sz w:val="26"/>
                <w:szCs w:val="26"/>
              </w:rPr>
            </w:pPr>
          </w:p>
          <w:p w:rsidR="00114A5C" w:rsidRPr="0044749B" w:rsidRDefault="00114A5C" w:rsidP="00F112CB">
            <w:pPr>
              <w:rPr>
                <w:sz w:val="26"/>
                <w:szCs w:val="26"/>
              </w:rPr>
            </w:pPr>
          </w:p>
          <w:p w:rsidR="00114A5C" w:rsidRPr="0044749B" w:rsidRDefault="00114A5C" w:rsidP="00F112CB">
            <w:pPr>
              <w:pStyle w:val="Caption"/>
              <w:widowControl/>
              <w:spacing w:before="0"/>
              <w:ind w:firstLine="0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районе», заместитель начальника департамента строительства и архитектуры мэрии города Новосибирска - главный архитектор города </w:t>
            </w:r>
          </w:p>
        </w:tc>
        <w:tc>
          <w:tcPr>
            <w:tcW w:w="3604" w:type="dxa"/>
            <w:vAlign w:val="bottom"/>
          </w:tcPr>
          <w:p w:rsidR="00114A5C" w:rsidRPr="0044749B" w:rsidRDefault="00114A5C" w:rsidP="00F112CB">
            <w:pPr>
              <w:pStyle w:val="Caption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В. В. Фефелов</w:t>
            </w:r>
          </w:p>
        </w:tc>
      </w:tr>
      <w:tr w:rsidR="00114A5C" w:rsidRPr="0044749B" w:rsidTr="00524544">
        <w:tc>
          <w:tcPr>
            <w:tcW w:w="6204" w:type="dxa"/>
          </w:tcPr>
          <w:p w:rsidR="00114A5C" w:rsidRPr="0044749B" w:rsidRDefault="00114A5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14A5C" w:rsidRPr="0044749B" w:rsidRDefault="00114A5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14A5C" w:rsidRPr="0044749B" w:rsidRDefault="00114A5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114A5C" w:rsidRPr="0044749B" w:rsidRDefault="00114A5C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14A5C" w:rsidRPr="0044749B" w:rsidRDefault="00114A5C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14A5C" w:rsidRPr="0044749B" w:rsidRDefault="00114A5C" w:rsidP="009E773C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Е. В. Степаненкова</w:t>
            </w:r>
          </w:p>
          <w:p w:rsidR="00114A5C" w:rsidRPr="0044749B" w:rsidRDefault="00114A5C" w:rsidP="00395612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114A5C" w:rsidRPr="0044749B" w:rsidTr="00524544">
        <w:tblPrEx>
          <w:tblLook w:val="01E0"/>
        </w:tblPrEx>
        <w:tc>
          <w:tcPr>
            <w:tcW w:w="9808" w:type="dxa"/>
            <w:gridSpan w:val="2"/>
          </w:tcPr>
          <w:p w:rsidR="00114A5C" w:rsidRPr="0044749B" w:rsidRDefault="00114A5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14A5C" w:rsidRDefault="00114A5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14A5C" w:rsidRPr="0044749B" w:rsidRDefault="00114A5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Согласовано экспертами:</w:t>
            </w:r>
          </w:p>
        </w:tc>
      </w:tr>
      <w:tr w:rsidR="00114A5C" w:rsidRPr="0044749B" w:rsidTr="00524544">
        <w:tblPrEx>
          <w:tblLook w:val="01E0"/>
        </w:tblPrEx>
        <w:tc>
          <w:tcPr>
            <w:tcW w:w="9808" w:type="dxa"/>
            <w:gridSpan w:val="2"/>
          </w:tcPr>
          <w:p w:rsidR="00114A5C" w:rsidRPr="0044749B" w:rsidRDefault="00114A5C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14A5C" w:rsidRPr="0044749B" w:rsidRDefault="00114A5C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Г. Т. Виноградов</w:t>
            </w:r>
          </w:p>
        </w:tc>
      </w:tr>
      <w:tr w:rsidR="00114A5C" w:rsidRPr="0044749B" w:rsidTr="00524544">
        <w:tblPrEx>
          <w:tblLook w:val="01E0"/>
        </w:tblPrEx>
        <w:tc>
          <w:tcPr>
            <w:tcW w:w="9808" w:type="dxa"/>
            <w:gridSpan w:val="2"/>
          </w:tcPr>
          <w:p w:rsidR="00114A5C" w:rsidRPr="0044749B" w:rsidRDefault="00114A5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14A5C" w:rsidRPr="0044749B" w:rsidRDefault="00114A5C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Е. М. Сорокина</w:t>
            </w:r>
          </w:p>
        </w:tc>
      </w:tr>
      <w:tr w:rsidR="00114A5C" w:rsidRPr="0044749B" w:rsidTr="00524544">
        <w:tblPrEx>
          <w:tblLook w:val="01E0"/>
        </w:tblPrEx>
        <w:tc>
          <w:tcPr>
            <w:tcW w:w="9808" w:type="dxa"/>
            <w:gridSpan w:val="2"/>
          </w:tcPr>
          <w:p w:rsidR="00114A5C" w:rsidRPr="0044749B" w:rsidRDefault="00114A5C" w:rsidP="00E16563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14A5C" w:rsidRPr="0044749B" w:rsidRDefault="00114A5C" w:rsidP="00CA63C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44749B">
              <w:rPr>
                <w:sz w:val="26"/>
                <w:szCs w:val="26"/>
              </w:rPr>
              <w:t>Л. А. Ющук</w:t>
            </w:r>
          </w:p>
        </w:tc>
      </w:tr>
    </w:tbl>
    <w:p w:rsidR="00114A5C" w:rsidRPr="0044749B" w:rsidRDefault="00114A5C" w:rsidP="007A19D9">
      <w:pPr>
        <w:spacing w:line="240" w:lineRule="atLeast"/>
        <w:rPr>
          <w:sz w:val="26"/>
          <w:szCs w:val="26"/>
        </w:rPr>
      </w:pPr>
    </w:p>
    <w:sectPr w:rsidR="00114A5C" w:rsidRPr="0044749B" w:rsidSect="00EA6665">
      <w:headerReference w:type="even" r:id="rId7"/>
      <w:headerReference w:type="default" r:id="rId8"/>
      <w:pgSz w:w="11909" w:h="16834"/>
      <w:pgMar w:top="567" w:right="567" w:bottom="482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5C" w:rsidRDefault="00114A5C">
      <w:r>
        <w:separator/>
      </w:r>
    </w:p>
  </w:endnote>
  <w:endnote w:type="continuationSeparator" w:id="0">
    <w:p w:rsidR="00114A5C" w:rsidRDefault="0011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5C" w:rsidRDefault="00114A5C">
      <w:r>
        <w:separator/>
      </w:r>
    </w:p>
  </w:footnote>
  <w:footnote w:type="continuationSeparator" w:id="0">
    <w:p w:rsidR="00114A5C" w:rsidRDefault="00114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5C" w:rsidRDefault="00114A5C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A5C" w:rsidRDefault="00114A5C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5C" w:rsidRDefault="00114A5C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658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12</cp:revision>
  <cp:lastPrinted>2014-10-14T04:29:00Z</cp:lastPrinted>
  <dcterms:created xsi:type="dcterms:W3CDTF">2014-10-12T09:23:00Z</dcterms:created>
  <dcterms:modified xsi:type="dcterms:W3CDTF">2014-10-14T04:38:00Z</dcterms:modified>
</cp:coreProperties>
</file>